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CCA86" w14:textId="47282BFA" w:rsidR="002F1B64" w:rsidRPr="00EE76A9" w:rsidRDefault="002F1B64" w:rsidP="002F1B64">
      <w:pPr>
        <w:pStyle w:val="Header"/>
        <w:tabs>
          <w:tab w:val="right" w:pos="9639"/>
        </w:tabs>
        <w:rPr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 w:rsidR="0004189A">
        <w:rPr>
          <w:noProof w:val="0"/>
          <w:sz w:val="24"/>
          <w:lang w:val="en-GB"/>
        </w:rPr>
        <w:t>1#</w:t>
      </w:r>
      <w:r w:rsidR="00C17C7E">
        <w:rPr>
          <w:noProof w:val="0"/>
          <w:sz w:val="24"/>
          <w:lang w:val="en-GB"/>
        </w:rPr>
        <w:t>NR3</w:t>
      </w:r>
      <w:r w:rsidRPr="007B7496">
        <w:rPr>
          <w:bCs/>
          <w:noProof w:val="0"/>
          <w:sz w:val="24"/>
          <w:lang w:val="en-GB"/>
        </w:rPr>
        <w:tab/>
      </w:r>
      <w:r w:rsidRPr="00920577">
        <w:rPr>
          <w:rFonts w:hint="eastAsia"/>
          <w:bCs/>
          <w:noProof w:val="0"/>
          <w:sz w:val="24"/>
          <w:lang w:val="en-GB" w:eastAsia="ja-JP"/>
        </w:rPr>
        <w:t>R</w:t>
      </w:r>
      <w:r w:rsidRPr="00920577">
        <w:rPr>
          <w:bCs/>
          <w:noProof w:val="0"/>
          <w:sz w:val="24"/>
          <w:lang w:val="en-GB" w:eastAsia="ja-JP"/>
        </w:rPr>
        <w:t>1</w:t>
      </w:r>
      <w:r w:rsidRPr="00920577">
        <w:rPr>
          <w:rFonts w:hint="eastAsia"/>
          <w:bCs/>
          <w:noProof w:val="0"/>
          <w:sz w:val="24"/>
          <w:lang w:val="en-GB" w:eastAsia="ja-JP"/>
        </w:rPr>
        <w:t>-</w:t>
      </w:r>
      <w:r w:rsidRPr="00920577">
        <w:rPr>
          <w:bCs/>
          <w:noProof w:val="0"/>
          <w:sz w:val="24"/>
          <w:lang w:val="en-GB" w:eastAsia="ja-JP"/>
        </w:rPr>
        <w:t>17</w:t>
      </w:r>
      <w:r w:rsidR="003F05B8">
        <w:rPr>
          <w:bCs/>
          <w:noProof w:val="0"/>
          <w:sz w:val="24"/>
          <w:lang w:val="en-GB" w:eastAsia="ja-JP"/>
        </w:rPr>
        <w:t>16144</w:t>
      </w:r>
    </w:p>
    <w:bookmarkEnd w:id="0"/>
    <w:bookmarkEnd w:id="1"/>
    <w:p w14:paraId="67825430" w14:textId="47EFAED7" w:rsidR="002F1B64" w:rsidRPr="00461210" w:rsidRDefault="00C17C7E" w:rsidP="002F1B64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Nagoya</w:t>
      </w:r>
      <w:r w:rsidR="0004189A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 xml:space="preserve">Japan, </w:t>
      </w:r>
      <w:r w:rsidR="0004189A" w:rsidRPr="0004189A">
        <w:rPr>
          <w:noProof w:val="0"/>
          <w:sz w:val="24"/>
          <w:lang w:val="en-GB"/>
        </w:rPr>
        <w:t>1</w:t>
      </w:r>
      <w:r>
        <w:rPr>
          <w:noProof w:val="0"/>
          <w:sz w:val="24"/>
          <w:lang w:val="en-GB"/>
        </w:rPr>
        <w:t>8</w:t>
      </w:r>
      <w:r w:rsidR="0004189A" w:rsidRPr="0004189A">
        <w:rPr>
          <w:noProof w:val="0"/>
          <w:sz w:val="24"/>
          <w:vertAlign w:val="superscript"/>
          <w:lang w:val="en-GB"/>
        </w:rPr>
        <w:t>t</w:t>
      </w:r>
      <w:r>
        <w:rPr>
          <w:noProof w:val="0"/>
          <w:sz w:val="24"/>
          <w:vertAlign w:val="superscript"/>
          <w:lang w:val="en-GB"/>
        </w:rPr>
        <w:t>h</w:t>
      </w:r>
      <w:r w:rsidR="0004189A">
        <w:rPr>
          <w:noProof w:val="0"/>
          <w:sz w:val="24"/>
          <w:lang w:val="en-GB"/>
        </w:rPr>
        <w:t xml:space="preserve"> </w:t>
      </w:r>
      <w:r w:rsidR="0004189A" w:rsidRPr="0004189A">
        <w:rPr>
          <w:noProof w:val="0"/>
          <w:sz w:val="24"/>
          <w:lang w:val="en-GB"/>
        </w:rPr>
        <w:t>– 2</w:t>
      </w:r>
      <w:r>
        <w:rPr>
          <w:noProof w:val="0"/>
          <w:sz w:val="24"/>
          <w:lang w:val="en-GB"/>
        </w:rPr>
        <w:t>1</w:t>
      </w:r>
      <w:r w:rsidR="009176C9">
        <w:rPr>
          <w:noProof w:val="0"/>
          <w:sz w:val="24"/>
          <w:vertAlign w:val="superscript"/>
          <w:lang w:val="en-GB"/>
        </w:rPr>
        <w:t>st</w:t>
      </w:r>
      <w:r w:rsidR="0004189A">
        <w:rPr>
          <w:noProof w:val="0"/>
          <w:sz w:val="24"/>
          <w:lang w:val="en-GB"/>
        </w:rPr>
        <w:t xml:space="preserve"> </w:t>
      </w:r>
      <w:r>
        <w:rPr>
          <w:noProof w:val="0"/>
          <w:sz w:val="24"/>
          <w:lang w:val="en-GB"/>
        </w:rPr>
        <w:t xml:space="preserve">September </w:t>
      </w:r>
      <w:r w:rsidR="0004189A" w:rsidRPr="0004189A">
        <w:rPr>
          <w:noProof w:val="0"/>
          <w:sz w:val="24"/>
          <w:lang w:val="en-GB"/>
        </w:rPr>
        <w:t>2017</w:t>
      </w:r>
    </w:p>
    <w:p w14:paraId="0DE4A9A8" w14:textId="77777777" w:rsidR="002F1B64" w:rsidRPr="007B7496" w:rsidRDefault="002F1B64" w:rsidP="002F1B64">
      <w:pPr>
        <w:pStyle w:val="Header"/>
        <w:rPr>
          <w:bCs/>
          <w:noProof w:val="0"/>
          <w:sz w:val="24"/>
          <w:lang w:val="en-GB" w:eastAsia="ja-JP"/>
        </w:rPr>
      </w:pPr>
    </w:p>
    <w:p w14:paraId="184D3AF2" w14:textId="096979C0" w:rsidR="002F1B64" w:rsidRPr="007B7496" w:rsidRDefault="002F1B64" w:rsidP="002F1B64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C17C7E">
        <w:rPr>
          <w:rFonts w:cs="Arial"/>
          <w:b/>
          <w:bCs/>
          <w:sz w:val="24"/>
        </w:rPr>
        <w:t>6.</w:t>
      </w:r>
      <w:r w:rsidR="00EF6E2E">
        <w:rPr>
          <w:rFonts w:cs="Arial"/>
          <w:b/>
          <w:bCs/>
          <w:sz w:val="24"/>
        </w:rPr>
        <w:t>3.2.2.3</w:t>
      </w:r>
    </w:p>
    <w:p w14:paraId="65DB1022" w14:textId="17CD968C" w:rsidR="002F1B64" w:rsidRPr="00F174DB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3"/>
      <w:bookmarkEnd w:id="4"/>
      <w:r>
        <w:rPr>
          <w:rFonts w:ascii="Arial" w:hAnsi="Arial" w:cs="Arial"/>
          <w:b/>
          <w:bCs/>
          <w:sz w:val="24"/>
        </w:rPr>
        <w:t xml:space="preserve">, </w:t>
      </w:r>
      <w:r w:rsidR="0004189A">
        <w:rPr>
          <w:rFonts w:ascii="Arial" w:hAnsi="Arial" w:cs="Arial"/>
          <w:b/>
          <w:bCs/>
          <w:sz w:val="24"/>
        </w:rPr>
        <w:t>Nokia</w:t>
      </w:r>
      <w:r>
        <w:rPr>
          <w:rFonts w:ascii="Arial" w:hAnsi="Arial" w:cs="Arial"/>
          <w:b/>
          <w:bCs/>
          <w:sz w:val="24"/>
        </w:rPr>
        <w:t xml:space="preserve"> Shanghai Bell </w:t>
      </w:r>
    </w:p>
    <w:p w14:paraId="6C17C0E9" w14:textId="5CEDB19A" w:rsidR="002F1B64" w:rsidRPr="0016316A" w:rsidRDefault="002F1B64" w:rsidP="002F1B64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740D17">
        <w:rPr>
          <w:rFonts w:ascii="Arial" w:hAnsi="Arial" w:cs="Arial"/>
          <w:b/>
          <w:bCs/>
          <w:sz w:val="24"/>
        </w:rPr>
        <w:t>Long PUCCH over multiple slots</w:t>
      </w:r>
    </w:p>
    <w:p w14:paraId="3F1AFA8D" w14:textId="77777777" w:rsidR="002F1B64" w:rsidRPr="007B7496" w:rsidRDefault="002F1B64" w:rsidP="002F1B64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219CFE6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60EF70B6" w14:textId="041A6A61" w:rsidR="00766749" w:rsidRPr="00C66951" w:rsidRDefault="00C66951" w:rsidP="00C66951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asciiTheme="minorHAnsi" w:eastAsiaTheme="minorHAnsi" w:hAnsiTheme="minorHAnsi" w:cstheme="minorBidi"/>
          <w:bCs/>
          <w:sz w:val="22"/>
          <w:szCs w:val="22"/>
          <w:lang w:val="en-US"/>
        </w:rPr>
      </w:pPr>
      <w:r w:rsidRPr="00B96259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 xml:space="preserve">During the NR Study Item, RAN1 has established requirements and scenarios for NR 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begin"/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instrText xml:space="preserve"> REF _Ref471391198 \r \h </w:instrTex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separate"/>
      </w:r>
      <w:r w:rsidR="00F919B3">
        <w:rPr>
          <w:rFonts w:asciiTheme="minorHAnsi" w:eastAsiaTheme="minorHAnsi" w:hAnsiTheme="minorHAnsi" w:cstheme="minorBidi" w:hint="cs"/>
          <w:bCs/>
          <w:sz w:val="22"/>
          <w:szCs w:val="22"/>
          <w:cs/>
          <w:lang w:val="en-US"/>
        </w:rPr>
        <w:t>‎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>[1]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end"/>
      </w:r>
      <w:r w:rsidRPr="00B96259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 xml:space="preserve"> and has identified technology components that are needed to standardize the NR system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 xml:space="preserve"> 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begin"/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instrText xml:space="preserve"> REF _Ref489368406 \r \h </w:instrTex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separate"/>
      </w:r>
      <w:r w:rsidR="00F919B3">
        <w:rPr>
          <w:rFonts w:asciiTheme="minorHAnsi" w:eastAsiaTheme="minorHAnsi" w:hAnsiTheme="minorHAnsi" w:cstheme="minorBidi" w:hint="cs"/>
          <w:bCs/>
          <w:sz w:val="22"/>
          <w:szCs w:val="22"/>
          <w:cs/>
          <w:lang w:val="en-US"/>
        </w:rPr>
        <w:t>‎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>[2]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end"/>
      </w:r>
      <w:r w:rsidRPr="00B96259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>. The objective of the work item phase is to specify the NR functionalities for enhanced mobile broadband (eMBB) and ultra-reliable low latency communications (URLLC) considering frequency ranges up to 52.6 GHz and considering forward compatibility and introduction of new technology components for new use cases.</w:t>
      </w:r>
    </w:p>
    <w:p w14:paraId="032EF5CF" w14:textId="55AEBBD6" w:rsidR="00766749" w:rsidRDefault="00F919B3" w:rsidP="00C66951">
      <w:pPr>
        <w:spacing w:after="120"/>
        <w:jc w:val="both"/>
        <w:rPr>
          <w:bCs/>
        </w:rPr>
      </w:pPr>
      <w:r>
        <w:rPr>
          <w:bCs/>
        </w:rPr>
        <w:t xml:space="preserve">In RAN1#87 </w:t>
      </w:r>
      <w:r>
        <w:rPr>
          <w:bCs/>
        </w:rPr>
        <w:fldChar w:fldCharType="begin"/>
      </w:r>
      <w:r>
        <w:rPr>
          <w:bCs/>
        </w:rPr>
        <w:instrText xml:space="preserve"> REF _Ref484777763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cs/>
        </w:rPr>
        <w:t>‎</w:t>
      </w:r>
      <w:r>
        <w:rPr>
          <w:bCs/>
        </w:rPr>
        <w:t>[3]</w:t>
      </w:r>
      <w:r>
        <w:rPr>
          <w:bCs/>
        </w:rPr>
        <w:fldChar w:fldCharType="end"/>
      </w:r>
      <w:r w:rsidR="00766749">
        <w:rPr>
          <w:bCs/>
        </w:rPr>
        <w:t>, t</w:t>
      </w:r>
      <w:r>
        <w:rPr>
          <w:bCs/>
        </w:rPr>
        <w:t>he following agreement was made:</w:t>
      </w:r>
    </w:p>
    <w:p w14:paraId="332437CB" w14:textId="140E49B9" w:rsidR="00766749" w:rsidRDefault="00766749" w:rsidP="00766749">
      <w:pPr>
        <w:spacing w:after="120"/>
        <w:jc w:val="both"/>
        <w:rPr>
          <w:bCs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FB6D16" wp14:editId="5A94A86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BA88CD" w14:textId="77777777" w:rsidR="00766749" w:rsidRPr="00766749" w:rsidRDefault="00766749" w:rsidP="00766749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  <w:highlight w:val="green"/>
                              </w:rPr>
                              <w:t>Agreements:</w:t>
                            </w:r>
                            <w:r w:rsidRPr="00766749">
                              <w:rPr>
                                <w:bCs/>
                              </w:rPr>
                              <w:t xml:space="preserve"> </w:t>
                            </w:r>
                          </w:p>
                          <w:p w14:paraId="381EF405" w14:textId="77777777" w:rsidR="00766749" w:rsidRPr="00766749" w:rsidRDefault="00766749" w:rsidP="00766749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</w:rPr>
                              <w:t>•</w:t>
                            </w:r>
                            <w:r w:rsidRPr="00766749">
                              <w:rPr>
                                <w:bCs/>
                              </w:rPr>
                              <w:tab/>
                              <w:t>A UCI carried by long duration UL control channel at least with low PAPR design can be transmitted in one slot or multiple slots</w:t>
                            </w:r>
                          </w:p>
                          <w:p w14:paraId="16842B9A" w14:textId="77777777" w:rsidR="00766749" w:rsidRPr="00766749" w:rsidRDefault="00766749" w:rsidP="00766749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</w:rPr>
                              <w:t>–</w:t>
                            </w:r>
                            <w:r w:rsidRPr="00766749">
                              <w:rPr>
                                <w:bCs/>
                              </w:rPr>
                              <w:tab/>
                              <w:t>Transmission across multiple slots should allow a total duration of [1] ms at least for some cases</w:t>
                            </w:r>
                          </w:p>
                          <w:p w14:paraId="678966DE" w14:textId="77777777" w:rsidR="00766749" w:rsidRPr="00766749" w:rsidRDefault="00766749" w:rsidP="00766749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</w:rPr>
                              <w:t>•</w:t>
                            </w:r>
                            <w:r w:rsidRPr="00766749">
                              <w:rPr>
                                <w:bCs/>
                              </w:rPr>
                              <w:tab/>
                              <w:t>FFS: more than [1] ms at least for some cases</w:t>
                            </w:r>
                          </w:p>
                          <w:p w14:paraId="1D3C4E22" w14:textId="77777777" w:rsidR="00766749" w:rsidRPr="00500C73" w:rsidRDefault="00766749" w:rsidP="00500C73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</w:rPr>
                              <w:t>–</w:t>
                            </w:r>
                            <w:r w:rsidRPr="00766749">
                              <w:rPr>
                                <w:bCs/>
                              </w:rPr>
                              <w:tab/>
                              <w:t>FFS the numbers of the slots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FB6D1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fill o:detectmouseclick="t"/>
                <v:textbox style="mso-fit-shape-to-text:t">
                  <w:txbxContent>
                    <w:p w14:paraId="3DBA88CD" w14:textId="77777777" w:rsidR="00766749" w:rsidRPr="00766749" w:rsidRDefault="00766749" w:rsidP="00766749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  <w:highlight w:val="green"/>
                        </w:rPr>
                        <w:t>Agreements:</w:t>
                      </w:r>
                      <w:r w:rsidRPr="00766749">
                        <w:rPr>
                          <w:bCs/>
                        </w:rPr>
                        <w:t xml:space="preserve"> </w:t>
                      </w:r>
                    </w:p>
                    <w:p w14:paraId="381EF405" w14:textId="77777777" w:rsidR="00766749" w:rsidRPr="00766749" w:rsidRDefault="00766749" w:rsidP="00766749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</w:rPr>
                        <w:t>•</w:t>
                      </w:r>
                      <w:r w:rsidRPr="00766749">
                        <w:rPr>
                          <w:bCs/>
                        </w:rPr>
                        <w:tab/>
                        <w:t>A UCI carried by long duration UL control channel at least with low PAPR design can be transmitted in one slot or multiple slots</w:t>
                      </w:r>
                    </w:p>
                    <w:p w14:paraId="16842B9A" w14:textId="77777777" w:rsidR="00766749" w:rsidRPr="00766749" w:rsidRDefault="00766749" w:rsidP="00766749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</w:rPr>
                        <w:t>–</w:t>
                      </w:r>
                      <w:r w:rsidRPr="00766749">
                        <w:rPr>
                          <w:bCs/>
                        </w:rPr>
                        <w:tab/>
                        <w:t>Transmission across multiple slots should allow a total duration of [1] ms at least for some cases</w:t>
                      </w:r>
                    </w:p>
                    <w:p w14:paraId="678966DE" w14:textId="77777777" w:rsidR="00766749" w:rsidRPr="00766749" w:rsidRDefault="00766749" w:rsidP="00766749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</w:rPr>
                        <w:t>•</w:t>
                      </w:r>
                      <w:r w:rsidRPr="00766749">
                        <w:rPr>
                          <w:bCs/>
                        </w:rPr>
                        <w:tab/>
                        <w:t>FFS: more than [1] ms at least for some cases</w:t>
                      </w:r>
                    </w:p>
                    <w:p w14:paraId="1D3C4E22" w14:textId="77777777" w:rsidR="00766749" w:rsidRPr="00500C73" w:rsidRDefault="00766749" w:rsidP="00500C73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</w:rPr>
                        <w:t>–</w:t>
                      </w:r>
                      <w:r w:rsidRPr="00766749">
                        <w:rPr>
                          <w:bCs/>
                        </w:rPr>
                        <w:tab/>
                        <w:t>FFS the numbers of the slots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82EA6D" w14:textId="66B76F4F" w:rsidR="00766749" w:rsidRDefault="00C66951" w:rsidP="00766749">
      <w:pPr>
        <w:spacing w:after="120"/>
        <w:jc w:val="both"/>
        <w:rPr>
          <w:bCs/>
        </w:rPr>
      </w:pPr>
      <w:r>
        <w:rPr>
          <w:bCs/>
        </w:rPr>
        <w:t>In this contribution, we discuss the design principles of long PUCCH over multiple slots.</w:t>
      </w:r>
    </w:p>
    <w:p w14:paraId="1DB60EA8" w14:textId="0BAB807D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DC129F">
        <w:t>Discussion</w:t>
      </w:r>
    </w:p>
    <w:p w14:paraId="341D9F66" w14:textId="1ADCB42F" w:rsidR="00E442DA" w:rsidRDefault="00C66951" w:rsidP="00C66951">
      <w:pPr>
        <w:jc w:val="both"/>
      </w:pPr>
      <w:r>
        <w:t xml:space="preserve">In LTE, HARQ-ACK repetition on PUCCH is used to transmit the HARQ-ACK </w:t>
      </w:r>
      <w:r w:rsidR="00E442DA">
        <w:t xml:space="preserve">on PUCCH </w:t>
      </w:r>
      <w:r>
        <w:t>over multiple subframes to improve the reliability and coverage</w:t>
      </w:r>
      <w:r w:rsidR="00E442DA">
        <w:t xml:space="preserve"> (MCL)</w:t>
      </w:r>
      <w:r>
        <w:t xml:space="preserve"> of</w:t>
      </w:r>
      <w:r w:rsidR="00E442DA">
        <w:t xml:space="preserve"> the</w:t>
      </w:r>
      <w:r>
        <w:t xml:space="preserve"> HARQ-ACK reception. This is at the expense of longer latency and lower HARQ-ACK throughput or increased HARQ-ACK resource utilization. In NR, it is desirable to have similar coverage as LTE for HARQ-ACK transmission on long PUCCH</w:t>
      </w:r>
      <w:r w:rsidR="00E442DA">
        <w:t xml:space="preserve">. </w:t>
      </w:r>
      <w:r w:rsidR="00151757">
        <w:t>Furthermore</w:t>
      </w:r>
      <w:r w:rsidR="00E442DA">
        <w:t xml:space="preserve">, NR supports a scalable subcarrier design that supports higher frequency subcarrier spacing than LTE, which consequently leads to a shorter PUCCH slot. Hence, to keep the same coverage as in LTE, </w:t>
      </w:r>
      <w:r w:rsidR="00151757">
        <w:t xml:space="preserve">multi-slot long PUCCH </w:t>
      </w:r>
      <w:r w:rsidR="00E442DA">
        <w:t>should be used.</w:t>
      </w:r>
    </w:p>
    <w:p w14:paraId="46491B60" w14:textId="57C62BD4" w:rsidR="00E442DA" w:rsidRPr="00E442DA" w:rsidRDefault="00E442DA" w:rsidP="00C66951">
      <w:pPr>
        <w:jc w:val="both"/>
        <w:rPr>
          <w:b/>
          <w:bCs/>
          <w:i/>
          <w:iCs/>
        </w:rPr>
      </w:pPr>
      <w:r w:rsidRPr="00E442DA">
        <w:rPr>
          <w:b/>
          <w:bCs/>
          <w:i/>
          <w:iCs/>
        </w:rPr>
        <w:t xml:space="preserve">Observation 1: NR can use a higher subcarrier spacing than LTE. In this case, </w:t>
      </w:r>
      <w:r w:rsidR="00151757">
        <w:rPr>
          <w:b/>
          <w:bCs/>
          <w:i/>
          <w:iCs/>
        </w:rPr>
        <w:t xml:space="preserve">multi-slot long PUCCH </w:t>
      </w:r>
      <w:r w:rsidRPr="00E442DA">
        <w:rPr>
          <w:b/>
          <w:bCs/>
          <w:i/>
          <w:iCs/>
        </w:rPr>
        <w:t>can be used to keep the same coverage for long PUCCH in NR as in LTE.</w:t>
      </w:r>
      <w:r w:rsidR="00C66951" w:rsidRPr="00E442DA">
        <w:rPr>
          <w:b/>
          <w:bCs/>
          <w:i/>
          <w:iCs/>
        </w:rPr>
        <w:t xml:space="preserve"> </w:t>
      </w:r>
    </w:p>
    <w:p w14:paraId="58BE01ED" w14:textId="6F91D6CE" w:rsidR="003F5A0C" w:rsidRDefault="003F5A0C" w:rsidP="00C66951">
      <w:pPr>
        <w:jc w:val="both"/>
      </w:pPr>
      <w:r>
        <w:t>In NR, a</w:t>
      </w:r>
      <w:r w:rsidR="00C66951">
        <w:t>t least two formats of long PUCCH are supported</w:t>
      </w:r>
      <w:r w:rsidR="00F919B3">
        <w:t xml:space="preserve"> </w:t>
      </w:r>
      <w:r w:rsidR="00F919B3">
        <w:fldChar w:fldCharType="begin"/>
      </w:r>
      <w:r w:rsidR="00F919B3">
        <w:instrText xml:space="preserve"> REF _Ref489368643 \r \h </w:instrText>
      </w:r>
      <w:r w:rsidR="00F919B3">
        <w:fldChar w:fldCharType="separate"/>
      </w:r>
      <w:r w:rsidR="00F919B3">
        <w:rPr>
          <w:cs/>
        </w:rPr>
        <w:t>‎</w:t>
      </w:r>
      <w:r w:rsidR="00F919B3">
        <w:t>[4]</w:t>
      </w:r>
      <w:r w:rsidR="00F919B3">
        <w:fldChar w:fldCharType="end"/>
      </w:r>
      <w:r w:rsidR="00C66951">
        <w:t>,</w:t>
      </w:r>
    </w:p>
    <w:p w14:paraId="00C145FC" w14:textId="77777777" w:rsidR="003F5A0C" w:rsidRDefault="003F5A0C" w:rsidP="003F5A0C">
      <w:pPr>
        <w:jc w:val="both"/>
      </w:pPr>
      <w:r>
        <w:t>–</w:t>
      </w:r>
      <w:r>
        <w:tab/>
        <w:t>One PUCCH format for UCI with up to 2 bits with high multiplexing capacity</w:t>
      </w:r>
    </w:p>
    <w:p w14:paraId="0F611446" w14:textId="77777777" w:rsidR="003F5A0C" w:rsidRDefault="003F5A0C" w:rsidP="003F5A0C">
      <w:pPr>
        <w:jc w:val="both"/>
      </w:pPr>
      <w:r>
        <w:t>–</w:t>
      </w:r>
      <w:r>
        <w:tab/>
        <w:t>One PUCCH format for UCI with large payload with no multiplexing capacity</w:t>
      </w:r>
    </w:p>
    <w:p w14:paraId="4CCF47B7" w14:textId="344E1275" w:rsidR="00DF3F71" w:rsidRDefault="003F5A0C" w:rsidP="003F5A0C">
      <w:pPr>
        <w:jc w:val="both"/>
      </w:pPr>
      <w:r>
        <w:t xml:space="preserve">HARQ-ACK repetition on PUCCH is supported at least for the long PUCCH format with up to </w:t>
      </w:r>
      <w:r w:rsidR="00F919B3">
        <w:t xml:space="preserve">two </w:t>
      </w:r>
      <w:r>
        <w:t xml:space="preserve">UCI bits. </w:t>
      </w:r>
    </w:p>
    <w:p w14:paraId="7BA60764" w14:textId="4146331A" w:rsidR="003F5A0C" w:rsidRDefault="003F5A0C" w:rsidP="003F5A0C">
      <w:pPr>
        <w:jc w:val="both"/>
      </w:pPr>
      <w:r>
        <w:t>In NR, the duration of a long PUCCH symbol varie</w:t>
      </w:r>
      <w:r w:rsidR="00F919B3">
        <w:t xml:space="preserve">s from 4 to 14 symbols </w:t>
      </w:r>
      <w:r w:rsidR="00F919B3">
        <w:fldChar w:fldCharType="begin"/>
      </w:r>
      <w:r w:rsidR="00F919B3">
        <w:instrText xml:space="preserve"> REF _Ref489368722 \r \h </w:instrText>
      </w:r>
      <w:r w:rsidR="00F919B3">
        <w:fldChar w:fldCharType="separate"/>
      </w:r>
      <w:r w:rsidR="00F919B3">
        <w:rPr>
          <w:cs/>
        </w:rPr>
        <w:t>‎</w:t>
      </w:r>
      <w:r w:rsidR="00F919B3">
        <w:t>[5]</w:t>
      </w:r>
      <w:r w:rsidR="00F919B3">
        <w:fldChar w:fldCharType="end"/>
      </w:r>
      <w:r>
        <w:t>, such a large variation can lead to large variation in coverage for long PUCCH. When determining the total number of long PUCCH slots required for HARQ-ACK repetition, the total number of UL symbols in these slots</w:t>
      </w:r>
      <w:r w:rsidR="00F919B3">
        <w:t>,</w:t>
      </w:r>
      <w:r>
        <w:t xml:space="preserve"> available to transmit long PUCCH</w:t>
      </w:r>
      <w:r w:rsidR="00F919B3">
        <w:t>,</w:t>
      </w:r>
      <w:r>
        <w:t xml:space="preserve"> should be consider</w:t>
      </w:r>
      <w:r w:rsidR="00F919B3">
        <w:t>ed</w:t>
      </w:r>
      <w:r>
        <w:t>.</w:t>
      </w:r>
    </w:p>
    <w:p w14:paraId="0173E4B2" w14:textId="25ADCC75" w:rsidR="00F21C79" w:rsidRDefault="003F5A0C" w:rsidP="00920577">
      <w:pPr>
        <w:jc w:val="both"/>
      </w:pPr>
      <w:r>
        <w:lastRenderedPageBreak/>
        <w:t xml:space="preserve">Multi-slot </w:t>
      </w:r>
      <w:r w:rsidR="00F21C79">
        <w:t>HARQ-ACK repetition on long PUCCH is configured and enabled by</w:t>
      </w:r>
      <w:r w:rsidR="00920577">
        <w:t xml:space="preserve"> RRC signalling. RRC signalling</w:t>
      </w:r>
      <w:r w:rsidR="00F919B3">
        <w:t xml:space="preserve"> indicate</w:t>
      </w:r>
      <w:r w:rsidR="00920577">
        <w:t>s</w:t>
      </w:r>
      <w:r w:rsidR="00F21C79">
        <w:t xml:space="preserve"> </w:t>
      </w:r>
      <w:r w:rsidR="00F919B3">
        <w:t>the number of slots of a multi-slot long PUCCH transmission</w:t>
      </w:r>
      <w:r w:rsidR="00920577">
        <w:t>, this can take into account the expected total number of symbols across the slots used for long PUCCH transmission to achieve the desired coverage target.</w:t>
      </w:r>
    </w:p>
    <w:p w14:paraId="0C5B57BA" w14:textId="62058542" w:rsidR="003F5A0C" w:rsidRDefault="00F21C79" w:rsidP="003F5A0C">
      <w:pPr>
        <w:jc w:val="both"/>
      </w:pPr>
      <w:r>
        <w:t xml:space="preserve">The slot index of the first slot of a multi-slot long PUCCH is determined </w:t>
      </w:r>
      <w:r w:rsidR="00F919B3">
        <w:t xml:space="preserve">in a way </w:t>
      </w:r>
      <w:r>
        <w:t>similar to the way the UE determines the slot index of a singl</w:t>
      </w:r>
      <w:r w:rsidR="00151757">
        <w:t>e-slot long PUCCH transmission. The frequency and sequence resources used for the first slot of a multi-slot long PUCCH transmission, are used in the remaining slots of that transmission.</w:t>
      </w:r>
    </w:p>
    <w:p w14:paraId="286AC8A7" w14:textId="3CF13B44" w:rsidR="00F21C79" w:rsidRDefault="00F21C79" w:rsidP="003F5A0C">
      <w:pPr>
        <w:jc w:val="both"/>
      </w:pPr>
      <w:r>
        <w:t xml:space="preserve">In case of a multi-slot long PUCCH transmission, the slot structure and design of each slot is the same as that of a single-slot long PUCCH. This relates to the DMRS symbol location, the design principles to determine the start and end of the long PUCCH </w:t>
      </w:r>
      <w:r w:rsidR="00EF6E2E">
        <w:t xml:space="preserve">symbols in that slot, and the location </w:t>
      </w:r>
      <w:r w:rsidR="00B80894">
        <w:t xml:space="preserve">of the frequency hop in case </w:t>
      </w:r>
      <w:r w:rsidR="00EF6E2E">
        <w:t>frequency hoping</w:t>
      </w:r>
      <w:r w:rsidR="00B80894">
        <w:t xml:space="preserve"> is enabled.</w:t>
      </w:r>
    </w:p>
    <w:p w14:paraId="0E123884" w14:textId="2F58436B" w:rsidR="00EF6E2E" w:rsidRPr="00EF6E2E" w:rsidRDefault="00EF6E2E" w:rsidP="003F5A0C">
      <w:pPr>
        <w:jc w:val="both"/>
        <w:rPr>
          <w:b/>
          <w:bCs/>
          <w:i/>
          <w:iCs/>
        </w:rPr>
      </w:pPr>
      <w:r w:rsidRPr="00EF6E2E">
        <w:rPr>
          <w:b/>
          <w:bCs/>
          <w:i/>
          <w:iCs/>
        </w:rPr>
        <w:t>Proposal 1:</w:t>
      </w:r>
    </w:p>
    <w:p w14:paraId="681F2B3F" w14:textId="50A9DC69" w:rsidR="00EF6E2E" w:rsidRPr="00EF6E2E" w:rsidRDefault="00EF6E2E" w:rsidP="003F5A0C">
      <w:pPr>
        <w:jc w:val="both"/>
        <w:rPr>
          <w:b/>
          <w:bCs/>
          <w:i/>
          <w:iCs/>
        </w:rPr>
      </w:pPr>
      <w:r w:rsidRPr="00EF6E2E">
        <w:rPr>
          <w:b/>
          <w:bCs/>
          <w:i/>
          <w:iCs/>
        </w:rPr>
        <w:t>NR supports multi-slot HARQ-ACK repetition on long PUCCH at least for long PUCCH format with 1 or 2 UCI bits taking into account the following design principles:</w:t>
      </w:r>
    </w:p>
    <w:p w14:paraId="1F799398" w14:textId="10A412DC" w:rsidR="00EF6E2E" w:rsidRPr="00920577" w:rsidRDefault="00EF6E2E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Multi-slot long PUCCH is configured and enabled by RRC </w:t>
      </w:r>
      <w:r w:rsidR="00920577" w:rsidRPr="00920577">
        <w:rPr>
          <w:b/>
          <w:bCs/>
          <w:i/>
          <w:iCs/>
          <w:sz w:val="20"/>
          <w:szCs w:val="20"/>
          <w:lang w:val="en-US"/>
        </w:rPr>
        <w:t>signaling</w:t>
      </w:r>
    </w:p>
    <w:p w14:paraId="2187AC4F" w14:textId="22968812" w:rsidR="00EF6E2E" w:rsidRPr="00920577" w:rsidRDefault="00EF6E2E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RRC signaling determines </w:t>
      </w:r>
      <w:r w:rsidR="00B80894" w:rsidRPr="00920577">
        <w:rPr>
          <w:b/>
          <w:bCs/>
          <w:i/>
          <w:iCs/>
          <w:sz w:val="20"/>
          <w:szCs w:val="20"/>
          <w:lang w:val="en-US"/>
        </w:rPr>
        <w:t>total number of slots</w:t>
      </w:r>
      <w:r w:rsidRPr="00920577">
        <w:rPr>
          <w:b/>
          <w:bCs/>
          <w:i/>
          <w:iCs/>
          <w:sz w:val="20"/>
          <w:szCs w:val="20"/>
          <w:lang w:val="en-US"/>
        </w:rPr>
        <w:t xml:space="preserve"> long PUCCH needs to </w:t>
      </w:r>
      <w:r w:rsidR="003F05B8">
        <w:rPr>
          <w:b/>
          <w:bCs/>
          <w:i/>
          <w:iCs/>
          <w:sz w:val="20"/>
          <w:szCs w:val="20"/>
          <w:lang w:val="en-US"/>
        </w:rPr>
        <w:t xml:space="preserve">be </w:t>
      </w:r>
      <w:r w:rsidRPr="00920577">
        <w:rPr>
          <w:b/>
          <w:bCs/>
          <w:i/>
          <w:iCs/>
          <w:sz w:val="20"/>
          <w:szCs w:val="20"/>
          <w:lang w:val="en-US"/>
        </w:rPr>
        <w:t>transmitted over.</w:t>
      </w:r>
    </w:p>
    <w:p w14:paraId="2687DDBB" w14:textId="424C1779" w:rsidR="00EF6E2E" w:rsidRPr="00920577" w:rsidRDefault="00EF6E2E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>The slot index of the first slot of a multi-slot long PUCCH is determined similar to the way the UE determines the slot index of a single-slot long PUCCH transmission.</w:t>
      </w:r>
    </w:p>
    <w:p w14:paraId="7C2D5E5C" w14:textId="71CDA11C" w:rsidR="00151757" w:rsidRPr="00920577" w:rsidRDefault="00151757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>The frequency and sequence resources used for the first slot of a multi-slot long PUCCH transmission, are used in the remaining slots of that transmission.</w:t>
      </w:r>
    </w:p>
    <w:p w14:paraId="0BEA2AE4" w14:textId="05A793A7" w:rsidR="00EF6E2E" w:rsidRPr="00920577" w:rsidRDefault="00EF6E2E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>Slot structure and design of each slot of a mult</w:t>
      </w:r>
      <w:r w:rsidR="00151757" w:rsidRPr="00920577">
        <w:rPr>
          <w:b/>
          <w:bCs/>
          <w:i/>
          <w:iCs/>
          <w:sz w:val="20"/>
          <w:szCs w:val="20"/>
          <w:lang w:val="en-US"/>
        </w:rPr>
        <w:t>i</w:t>
      </w:r>
      <w:r w:rsidRPr="00920577">
        <w:rPr>
          <w:b/>
          <w:bCs/>
          <w:i/>
          <w:iCs/>
          <w:sz w:val="20"/>
          <w:szCs w:val="20"/>
          <w:lang w:val="en-US"/>
        </w:rPr>
        <w:t xml:space="preserve">-slot long PUCCH is the same as that of a single-slot long PUCCH. </w:t>
      </w:r>
    </w:p>
    <w:p w14:paraId="76F6F548" w14:textId="7B2CC85C" w:rsidR="00F21C79" w:rsidRPr="0004189A" w:rsidRDefault="00F21C79" w:rsidP="003F5A0C">
      <w:pPr>
        <w:jc w:val="both"/>
      </w:pPr>
    </w:p>
    <w:p w14:paraId="6ABDAF04" w14:textId="3CACE8EC" w:rsidR="0034111C" w:rsidRDefault="00864DD5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</w:p>
    <w:p w14:paraId="5070845E" w14:textId="134FA558" w:rsidR="0004189A" w:rsidRDefault="00EF6E2E" w:rsidP="0004189A">
      <w:r>
        <w:t>In this contribution, we discussed the design principle of HARQ-ACK repetition over m</w:t>
      </w:r>
      <w:r w:rsidR="00151757">
        <w:t>ultiple slots. The following observation and proposal was made:</w:t>
      </w:r>
    </w:p>
    <w:p w14:paraId="7C89A38E" w14:textId="77777777" w:rsidR="00151757" w:rsidRPr="00E442DA" w:rsidRDefault="00151757" w:rsidP="00151757">
      <w:pPr>
        <w:jc w:val="both"/>
        <w:rPr>
          <w:b/>
          <w:bCs/>
          <w:i/>
          <w:iCs/>
        </w:rPr>
      </w:pPr>
      <w:r w:rsidRPr="00E442DA">
        <w:rPr>
          <w:b/>
          <w:bCs/>
          <w:i/>
          <w:iCs/>
        </w:rPr>
        <w:t xml:space="preserve">Observation 1: NR can use a higher subcarrier spacing than LTE. In this case, PUCCH slot aggregation can be used to keep the same coverage for long PUCCH in NR as in LTE. </w:t>
      </w:r>
    </w:p>
    <w:p w14:paraId="7B955F60" w14:textId="01FE5FCA" w:rsidR="00B80894" w:rsidRDefault="00B80894" w:rsidP="00B80894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1:</w:t>
      </w:r>
    </w:p>
    <w:p w14:paraId="76887D1B" w14:textId="6DEEC200" w:rsidR="00B80894" w:rsidRPr="00EF6E2E" w:rsidRDefault="00B80894" w:rsidP="00B80894">
      <w:pPr>
        <w:jc w:val="both"/>
        <w:rPr>
          <w:b/>
          <w:bCs/>
          <w:i/>
          <w:iCs/>
        </w:rPr>
      </w:pPr>
      <w:r w:rsidRPr="00EF6E2E">
        <w:rPr>
          <w:b/>
          <w:bCs/>
          <w:i/>
          <w:iCs/>
        </w:rPr>
        <w:t>NR supports multi-slot HARQ-ACK repetition on long PUCCH at least for long PUCCH format with 1 or 2 UCI bits taking into account the following design principles:</w:t>
      </w:r>
    </w:p>
    <w:p w14:paraId="6D346546" w14:textId="31E52324" w:rsidR="00B80894" w:rsidRPr="00920577" w:rsidRDefault="00B80894" w:rsidP="00B80894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Multi-slot long PUCCH is configured and enabled by RRC </w:t>
      </w:r>
      <w:r w:rsidR="009B53B7" w:rsidRPr="00920577">
        <w:rPr>
          <w:b/>
          <w:bCs/>
          <w:i/>
          <w:iCs/>
          <w:sz w:val="20"/>
          <w:szCs w:val="20"/>
          <w:lang w:val="en-US"/>
        </w:rPr>
        <w:t>signaling</w:t>
      </w:r>
    </w:p>
    <w:p w14:paraId="0E1E2100" w14:textId="49B408EB" w:rsidR="00B80894" w:rsidRPr="00920577" w:rsidRDefault="00B80894" w:rsidP="009B53B7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RRC signaling determines the total number of slots long PUCCH needs to </w:t>
      </w:r>
      <w:r w:rsidR="003F05B8">
        <w:rPr>
          <w:b/>
          <w:bCs/>
          <w:i/>
          <w:iCs/>
          <w:sz w:val="20"/>
          <w:szCs w:val="20"/>
          <w:lang w:val="en-US"/>
        </w:rPr>
        <w:t xml:space="preserve">be </w:t>
      </w:r>
      <w:bookmarkStart w:id="5" w:name="_GoBack"/>
      <w:bookmarkEnd w:id="5"/>
      <w:r w:rsidRPr="00920577">
        <w:rPr>
          <w:b/>
          <w:bCs/>
          <w:i/>
          <w:iCs/>
          <w:sz w:val="20"/>
          <w:szCs w:val="20"/>
          <w:lang w:val="en-US"/>
        </w:rPr>
        <w:t xml:space="preserve">transmitted over. </w:t>
      </w:r>
    </w:p>
    <w:p w14:paraId="34E4A623" w14:textId="77777777" w:rsidR="00B80894" w:rsidRPr="00920577" w:rsidRDefault="00B80894" w:rsidP="00B80894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>The slot index of the first slot of a multi-slot long PUCCH is determined similar to the way the UE determines the slot index of a single-slot long PUCCH transmission.</w:t>
      </w:r>
    </w:p>
    <w:p w14:paraId="42C65BD7" w14:textId="77777777" w:rsidR="00B80894" w:rsidRPr="00920577" w:rsidRDefault="00B80894" w:rsidP="00B80894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>The frequency and sequence resources used for the first slot of a multi-slot long PUCCH transmission, are used in the remaining slots of that transmission.</w:t>
      </w:r>
    </w:p>
    <w:p w14:paraId="4EBE19C0" w14:textId="77777777" w:rsidR="00B80894" w:rsidRPr="00920577" w:rsidRDefault="00B80894" w:rsidP="00B80894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Slot structure and design of each slot of a multi-slot long PUCCH is the same as that of a single-slot long PUCCH. </w:t>
      </w:r>
    </w:p>
    <w:p w14:paraId="7186E0F4" w14:textId="77777777" w:rsidR="00151757" w:rsidRPr="0004189A" w:rsidRDefault="00151757" w:rsidP="0004189A"/>
    <w:p w14:paraId="6719C21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69EE5393" w14:textId="77777777" w:rsidR="00F919B3" w:rsidRDefault="00462DAC" w:rsidP="00A12B8F">
      <w:pPr>
        <w:numPr>
          <w:ilvl w:val="0"/>
          <w:numId w:val="1"/>
        </w:numPr>
        <w:rPr>
          <w:sz w:val="18"/>
        </w:rPr>
      </w:pPr>
      <w:bookmarkStart w:id="6" w:name="_Ref471391198"/>
      <w:r w:rsidRPr="00EC588F">
        <w:rPr>
          <w:rFonts w:cstheme="minorHAnsi"/>
        </w:rPr>
        <w:t>TR 38.913, “</w:t>
      </w:r>
      <w:r w:rsidRPr="00EC588F">
        <w:rPr>
          <w:rFonts w:cstheme="minorHAnsi"/>
          <w:i/>
          <w:lang w:eastAsia="zh-CN"/>
        </w:rPr>
        <w:t>Study on Scenarios and Requirements for Next Generation Access Technologies</w:t>
      </w:r>
      <w:r w:rsidRPr="00EC588F">
        <w:rPr>
          <w:rFonts w:cstheme="minorHAnsi"/>
        </w:rPr>
        <w:t>”, 3GPP</w:t>
      </w:r>
      <w:bookmarkEnd w:id="6"/>
      <w:r w:rsidRPr="009019C9">
        <w:rPr>
          <w:sz w:val="18"/>
        </w:rPr>
        <w:t xml:space="preserve"> </w:t>
      </w:r>
    </w:p>
    <w:p w14:paraId="6AE3BBCE" w14:textId="6CEFF785" w:rsidR="00F919B3" w:rsidRPr="00F919B3" w:rsidRDefault="00F919B3" w:rsidP="00F919B3">
      <w:pPr>
        <w:numPr>
          <w:ilvl w:val="0"/>
          <w:numId w:val="1"/>
        </w:numPr>
        <w:rPr>
          <w:rFonts w:cstheme="minorHAnsi"/>
        </w:rPr>
      </w:pPr>
      <w:bookmarkStart w:id="7" w:name="_Ref489368406"/>
      <w:r w:rsidRPr="00F919B3">
        <w:rPr>
          <w:rFonts w:cstheme="minorHAnsi"/>
        </w:rPr>
        <w:t>TR 38.802, “Study on New Radio (NR) Access Technology; Physical Layer Aspects”, 3GPP.</w:t>
      </w:r>
      <w:bookmarkEnd w:id="7"/>
    </w:p>
    <w:p w14:paraId="0AFF56A9" w14:textId="63861A52" w:rsidR="00F919B3" w:rsidRPr="00F919B3" w:rsidRDefault="00F919B3" w:rsidP="00F919B3">
      <w:pPr>
        <w:numPr>
          <w:ilvl w:val="0"/>
          <w:numId w:val="1"/>
        </w:numPr>
        <w:rPr>
          <w:rFonts w:cstheme="minorHAnsi"/>
        </w:rPr>
      </w:pPr>
      <w:bookmarkStart w:id="8" w:name="_Ref484777763"/>
      <w:r>
        <w:rPr>
          <w:rFonts w:cstheme="minorHAnsi"/>
        </w:rPr>
        <w:t>Chairman’s Note, RAN1#87, Reno, USA, November 2016</w:t>
      </w:r>
      <w:r w:rsidRPr="00F919B3">
        <w:rPr>
          <w:rFonts w:cstheme="minorHAnsi"/>
        </w:rPr>
        <w:t>.</w:t>
      </w:r>
      <w:bookmarkEnd w:id="8"/>
      <w:r w:rsidRPr="00F919B3">
        <w:rPr>
          <w:rFonts w:cstheme="minorHAnsi"/>
        </w:rPr>
        <w:t xml:space="preserve"> </w:t>
      </w:r>
    </w:p>
    <w:p w14:paraId="5AD57990" w14:textId="77777777" w:rsidR="00F919B3" w:rsidRPr="005D179C" w:rsidRDefault="00F919B3" w:rsidP="00F919B3">
      <w:pPr>
        <w:numPr>
          <w:ilvl w:val="0"/>
          <w:numId w:val="1"/>
        </w:numPr>
      </w:pPr>
      <w:bookmarkStart w:id="9" w:name="_Ref489368643"/>
      <w:r w:rsidRPr="005D179C">
        <w:t>Chairman’s Note, RAN1#89, Hangzhou, China, May 2017.</w:t>
      </w:r>
      <w:bookmarkEnd w:id="9"/>
      <w:r w:rsidRPr="005D179C">
        <w:t xml:space="preserve"> </w:t>
      </w:r>
    </w:p>
    <w:p w14:paraId="03E6A788" w14:textId="032164B3" w:rsidR="00A12B8F" w:rsidRPr="00F919B3" w:rsidRDefault="00F919B3" w:rsidP="00F919B3">
      <w:pPr>
        <w:numPr>
          <w:ilvl w:val="0"/>
          <w:numId w:val="1"/>
        </w:numPr>
      </w:pPr>
      <w:bookmarkStart w:id="10" w:name="_Ref489368722"/>
      <w:r>
        <w:t>Chairman’s Note, RAN1#88b, Spokane, USA, April</w:t>
      </w:r>
      <w:r w:rsidRPr="005D179C">
        <w:t xml:space="preserve"> 2017.</w:t>
      </w:r>
      <w:bookmarkEnd w:id="10"/>
    </w:p>
    <w:sectPr w:rsidR="00A12B8F" w:rsidRPr="00F919B3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48F77" w14:textId="77777777" w:rsidR="00031DBA" w:rsidRDefault="00031DBA">
      <w:r>
        <w:separator/>
      </w:r>
    </w:p>
  </w:endnote>
  <w:endnote w:type="continuationSeparator" w:id="0">
    <w:p w14:paraId="678BF6B1" w14:textId="77777777" w:rsidR="00031DBA" w:rsidRDefault="00031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C318C" w14:textId="77777777" w:rsidR="00031DBA" w:rsidRDefault="00031DBA">
      <w:r>
        <w:separator/>
      </w:r>
    </w:p>
  </w:footnote>
  <w:footnote w:type="continuationSeparator" w:id="0">
    <w:p w14:paraId="56BDA85E" w14:textId="77777777" w:rsidR="00031DBA" w:rsidRDefault="00031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90775"/>
    <w:multiLevelType w:val="hybridMultilevel"/>
    <w:tmpl w:val="D33A0258"/>
    <w:lvl w:ilvl="0" w:tplc="A208967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4"/>
  </w:num>
  <w:num w:numId="3">
    <w:abstractNumId w:val="13"/>
  </w:num>
  <w:num w:numId="4">
    <w:abstractNumId w:val="10"/>
  </w:num>
  <w:num w:numId="5">
    <w:abstractNumId w:val="27"/>
  </w:num>
  <w:num w:numId="6">
    <w:abstractNumId w:val="8"/>
  </w:num>
  <w:num w:numId="7">
    <w:abstractNumId w:val="25"/>
  </w:num>
  <w:num w:numId="8">
    <w:abstractNumId w:val="21"/>
  </w:num>
  <w:num w:numId="9">
    <w:abstractNumId w:val="26"/>
  </w:num>
  <w:num w:numId="10">
    <w:abstractNumId w:val="16"/>
  </w:num>
  <w:num w:numId="11">
    <w:abstractNumId w:val="0"/>
  </w:num>
  <w:num w:numId="12">
    <w:abstractNumId w:val="12"/>
  </w:num>
  <w:num w:numId="13">
    <w:abstractNumId w:val="17"/>
  </w:num>
  <w:num w:numId="14">
    <w:abstractNumId w:val="5"/>
  </w:num>
  <w:num w:numId="15">
    <w:abstractNumId w:val="23"/>
  </w:num>
  <w:num w:numId="16">
    <w:abstractNumId w:val="19"/>
  </w:num>
  <w:num w:numId="17">
    <w:abstractNumId w:val="15"/>
  </w:num>
  <w:num w:numId="18">
    <w:abstractNumId w:val="29"/>
  </w:num>
  <w:num w:numId="19">
    <w:abstractNumId w:val="7"/>
  </w:num>
  <w:num w:numId="20">
    <w:abstractNumId w:val="22"/>
  </w:num>
  <w:num w:numId="21">
    <w:abstractNumId w:val="6"/>
  </w:num>
  <w:num w:numId="22">
    <w:abstractNumId w:val="20"/>
  </w:num>
  <w:num w:numId="23">
    <w:abstractNumId w:val="18"/>
  </w:num>
  <w:num w:numId="24">
    <w:abstractNumId w:val="1"/>
  </w:num>
  <w:num w:numId="25">
    <w:abstractNumId w:val="24"/>
  </w:num>
  <w:num w:numId="26">
    <w:abstractNumId w:val="9"/>
  </w:num>
  <w:num w:numId="27">
    <w:abstractNumId w:val="2"/>
  </w:num>
  <w:num w:numId="28">
    <w:abstractNumId w:val="3"/>
  </w:num>
  <w:num w:numId="29">
    <w:abstractNumId w:val="28"/>
  </w:num>
  <w:num w:numId="3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4AEF"/>
    <w:rsid w:val="00026C65"/>
    <w:rsid w:val="00027755"/>
    <w:rsid w:val="00030048"/>
    <w:rsid w:val="0003072D"/>
    <w:rsid w:val="000314CD"/>
    <w:rsid w:val="000317D2"/>
    <w:rsid w:val="00031DBA"/>
    <w:rsid w:val="00033544"/>
    <w:rsid w:val="0003479E"/>
    <w:rsid w:val="00035691"/>
    <w:rsid w:val="0004132D"/>
    <w:rsid w:val="0004189A"/>
    <w:rsid w:val="000433EA"/>
    <w:rsid w:val="00044CFA"/>
    <w:rsid w:val="000459C7"/>
    <w:rsid w:val="00046630"/>
    <w:rsid w:val="00046C80"/>
    <w:rsid w:val="0004718B"/>
    <w:rsid w:val="00050112"/>
    <w:rsid w:val="000505CC"/>
    <w:rsid w:val="000511F9"/>
    <w:rsid w:val="00052850"/>
    <w:rsid w:val="000528A2"/>
    <w:rsid w:val="00052BBA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1A92"/>
    <w:rsid w:val="00093AAD"/>
    <w:rsid w:val="00093C49"/>
    <w:rsid w:val="00095A80"/>
    <w:rsid w:val="000973E1"/>
    <w:rsid w:val="000A0D39"/>
    <w:rsid w:val="000A1402"/>
    <w:rsid w:val="000A20BA"/>
    <w:rsid w:val="000A21D7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C56B1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C4F"/>
    <w:rsid w:val="00102C9F"/>
    <w:rsid w:val="001068D2"/>
    <w:rsid w:val="001103BD"/>
    <w:rsid w:val="00111208"/>
    <w:rsid w:val="00111808"/>
    <w:rsid w:val="0011339F"/>
    <w:rsid w:val="00114E96"/>
    <w:rsid w:val="001204DD"/>
    <w:rsid w:val="00122839"/>
    <w:rsid w:val="001237AC"/>
    <w:rsid w:val="00124E12"/>
    <w:rsid w:val="0012673D"/>
    <w:rsid w:val="001269B8"/>
    <w:rsid w:val="00127099"/>
    <w:rsid w:val="00132421"/>
    <w:rsid w:val="00132B71"/>
    <w:rsid w:val="0013427A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67B1"/>
    <w:rsid w:val="00150175"/>
    <w:rsid w:val="001502C8"/>
    <w:rsid w:val="0015130F"/>
    <w:rsid w:val="00151757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4FFD"/>
    <w:rsid w:val="001759CA"/>
    <w:rsid w:val="0017726A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572D"/>
    <w:rsid w:val="00196BF4"/>
    <w:rsid w:val="001972DA"/>
    <w:rsid w:val="001976AA"/>
    <w:rsid w:val="001A08B4"/>
    <w:rsid w:val="001A15C6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607D"/>
    <w:rsid w:val="002B132E"/>
    <w:rsid w:val="002B206D"/>
    <w:rsid w:val="002B2813"/>
    <w:rsid w:val="002B2D29"/>
    <w:rsid w:val="002C1EEA"/>
    <w:rsid w:val="002C3EAA"/>
    <w:rsid w:val="002C6034"/>
    <w:rsid w:val="002C635B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F04AE"/>
    <w:rsid w:val="002F1038"/>
    <w:rsid w:val="002F1B64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42A6"/>
    <w:rsid w:val="0036733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3DD0"/>
    <w:rsid w:val="003B4FAA"/>
    <w:rsid w:val="003B547A"/>
    <w:rsid w:val="003B75B9"/>
    <w:rsid w:val="003B77E4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05B8"/>
    <w:rsid w:val="003F5547"/>
    <w:rsid w:val="003F5A0C"/>
    <w:rsid w:val="003F5C40"/>
    <w:rsid w:val="003F6E12"/>
    <w:rsid w:val="003F75ED"/>
    <w:rsid w:val="004002B7"/>
    <w:rsid w:val="00400AD0"/>
    <w:rsid w:val="00400F31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FF7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2DAC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74E4"/>
    <w:rsid w:val="0049070D"/>
    <w:rsid w:val="00491DB2"/>
    <w:rsid w:val="00492877"/>
    <w:rsid w:val="00496DC2"/>
    <w:rsid w:val="00496E75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201D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3659"/>
    <w:rsid w:val="004F3B71"/>
    <w:rsid w:val="004F5154"/>
    <w:rsid w:val="004F5835"/>
    <w:rsid w:val="004F661C"/>
    <w:rsid w:val="004F6D99"/>
    <w:rsid w:val="00500572"/>
    <w:rsid w:val="00501304"/>
    <w:rsid w:val="00501425"/>
    <w:rsid w:val="005030E7"/>
    <w:rsid w:val="00504311"/>
    <w:rsid w:val="0050485C"/>
    <w:rsid w:val="00504AC6"/>
    <w:rsid w:val="00506FCA"/>
    <w:rsid w:val="00511079"/>
    <w:rsid w:val="00512829"/>
    <w:rsid w:val="00513449"/>
    <w:rsid w:val="0051423C"/>
    <w:rsid w:val="00514C91"/>
    <w:rsid w:val="00516241"/>
    <w:rsid w:val="00516FD9"/>
    <w:rsid w:val="0051791D"/>
    <w:rsid w:val="00520727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1792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90E8D"/>
    <w:rsid w:val="00591511"/>
    <w:rsid w:val="0059331A"/>
    <w:rsid w:val="00596BBA"/>
    <w:rsid w:val="005975C4"/>
    <w:rsid w:val="00597ED8"/>
    <w:rsid w:val="005A2E77"/>
    <w:rsid w:val="005A34D5"/>
    <w:rsid w:val="005A3A3E"/>
    <w:rsid w:val="005A4904"/>
    <w:rsid w:val="005A515A"/>
    <w:rsid w:val="005A704D"/>
    <w:rsid w:val="005B3C6D"/>
    <w:rsid w:val="005B609E"/>
    <w:rsid w:val="005B6DF6"/>
    <w:rsid w:val="005B7B7D"/>
    <w:rsid w:val="005C1948"/>
    <w:rsid w:val="005C263C"/>
    <w:rsid w:val="005C2679"/>
    <w:rsid w:val="005D07C5"/>
    <w:rsid w:val="005D4302"/>
    <w:rsid w:val="005D5A20"/>
    <w:rsid w:val="005D5F19"/>
    <w:rsid w:val="005D6C09"/>
    <w:rsid w:val="005D786C"/>
    <w:rsid w:val="005E049F"/>
    <w:rsid w:val="005E3073"/>
    <w:rsid w:val="005E316A"/>
    <w:rsid w:val="005E57D6"/>
    <w:rsid w:val="005F0108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C9F"/>
    <w:rsid w:val="00646A6C"/>
    <w:rsid w:val="006508B9"/>
    <w:rsid w:val="00650CA1"/>
    <w:rsid w:val="00651854"/>
    <w:rsid w:val="006565D8"/>
    <w:rsid w:val="00656B96"/>
    <w:rsid w:val="00657AE5"/>
    <w:rsid w:val="006619B0"/>
    <w:rsid w:val="00662012"/>
    <w:rsid w:val="00662543"/>
    <w:rsid w:val="006626D0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E7A"/>
    <w:rsid w:val="00682B53"/>
    <w:rsid w:val="00682F27"/>
    <w:rsid w:val="00686F6F"/>
    <w:rsid w:val="00690E2E"/>
    <w:rsid w:val="006932E7"/>
    <w:rsid w:val="00693347"/>
    <w:rsid w:val="0069334C"/>
    <w:rsid w:val="00696D63"/>
    <w:rsid w:val="006A032F"/>
    <w:rsid w:val="006A1D91"/>
    <w:rsid w:val="006A41AE"/>
    <w:rsid w:val="006A4856"/>
    <w:rsid w:val="006A564B"/>
    <w:rsid w:val="006B1545"/>
    <w:rsid w:val="006B2DA7"/>
    <w:rsid w:val="006B2F4D"/>
    <w:rsid w:val="006B3682"/>
    <w:rsid w:val="006B4498"/>
    <w:rsid w:val="006B48CB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F0914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071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6878"/>
    <w:rsid w:val="0073124A"/>
    <w:rsid w:val="00733893"/>
    <w:rsid w:val="00734A05"/>
    <w:rsid w:val="00735C6F"/>
    <w:rsid w:val="00740D17"/>
    <w:rsid w:val="00753BB5"/>
    <w:rsid w:val="00756832"/>
    <w:rsid w:val="007618DE"/>
    <w:rsid w:val="007626D0"/>
    <w:rsid w:val="007633BC"/>
    <w:rsid w:val="007651CA"/>
    <w:rsid w:val="00766749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4C55"/>
    <w:rsid w:val="0078539D"/>
    <w:rsid w:val="007856C1"/>
    <w:rsid w:val="00785B46"/>
    <w:rsid w:val="00787051"/>
    <w:rsid w:val="0079018D"/>
    <w:rsid w:val="00791A00"/>
    <w:rsid w:val="00792CEE"/>
    <w:rsid w:val="007A138F"/>
    <w:rsid w:val="007A1640"/>
    <w:rsid w:val="007A39DF"/>
    <w:rsid w:val="007A43ED"/>
    <w:rsid w:val="007A4BDD"/>
    <w:rsid w:val="007A72EE"/>
    <w:rsid w:val="007B0397"/>
    <w:rsid w:val="007B128D"/>
    <w:rsid w:val="007B3502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ABC"/>
    <w:rsid w:val="007D5E27"/>
    <w:rsid w:val="007D6F64"/>
    <w:rsid w:val="007E79C5"/>
    <w:rsid w:val="007F2635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47F5"/>
    <w:rsid w:val="00846292"/>
    <w:rsid w:val="008506E1"/>
    <w:rsid w:val="008515EE"/>
    <w:rsid w:val="008528D3"/>
    <w:rsid w:val="00854553"/>
    <w:rsid w:val="008545E6"/>
    <w:rsid w:val="00854B03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A7A6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176C9"/>
    <w:rsid w:val="00920577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493B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53B7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E08"/>
    <w:rsid w:val="00A1179A"/>
    <w:rsid w:val="00A12798"/>
    <w:rsid w:val="00A12B8F"/>
    <w:rsid w:val="00A142A2"/>
    <w:rsid w:val="00A153BE"/>
    <w:rsid w:val="00A15DEE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1C7B"/>
    <w:rsid w:val="00A92776"/>
    <w:rsid w:val="00A93181"/>
    <w:rsid w:val="00A938E0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9D3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175F"/>
    <w:rsid w:val="00B245DA"/>
    <w:rsid w:val="00B2628E"/>
    <w:rsid w:val="00B266B0"/>
    <w:rsid w:val="00B27921"/>
    <w:rsid w:val="00B3000E"/>
    <w:rsid w:val="00B326A8"/>
    <w:rsid w:val="00B329EB"/>
    <w:rsid w:val="00B32D52"/>
    <w:rsid w:val="00B33508"/>
    <w:rsid w:val="00B3377E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267A"/>
    <w:rsid w:val="00B726FF"/>
    <w:rsid w:val="00B72AA4"/>
    <w:rsid w:val="00B76BCD"/>
    <w:rsid w:val="00B76EE9"/>
    <w:rsid w:val="00B77880"/>
    <w:rsid w:val="00B80894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631E"/>
    <w:rsid w:val="00BF0CCF"/>
    <w:rsid w:val="00BF0FC5"/>
    <w:rsid w:val="00BF10BC"/>
    <w:rsid w:val="00BF21AC"/>
    <w:rsid w:val="00BF2E53"/>
    <w:rsid w:val="00BF3669"/>
    <w:rsid w:val="00BF3C0D"/>
    <w:rsid w:val="00C011A3"/>
    <w:rsid w:val="00C03309"/>
    <w:rsid w:val="00C072FE"/>
    <w:rsid w:val="00C12E39"/>
    <w:rsid w:val="00C14164"/>
    <w:rsid w:val="00C14851"/>
    <w:rsid w:val="00C15D8E"/>
    <w:rsid w:val="00C17012"/>
    <w:rsid w:val="00C178FB"/>
    <w:rsid w:val="00C17C7E"/>
    <w:rsid w:val="00C257B7"/>
    <w:rsid w:val="00C272E8"/>
    <w:rsid w:val="00C32035"/>
    <w:rsid w:val="00C33359"/>
    <w:rsid w:val="00C348D6"/>
    <w:rsid w:val="00C36E34"/>
    <w:rsid w:val="00C404EE"/>
    <w:rsid w:val="00C4061A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D4B"/>
    <w:rsid w:val="00C62B0A"/>
    <w:rsid w:val="00C63F08"/>
    <w:rsid w:val="00C6528C"/>
    <w:rsid w:val="00C661E8"/>
    <w:rsid w:val="00C66951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2BBB"/>
    <w:rsid w:val="00C84D39"/>
    <w:rsid w:val="00C85277"/>
    <w:rsid w:val="00C85D76"/>
    <w:rsid w:val="00C873AC"/>
    <w:rsid w:val="00C9106A"/>
    <w:rsid w:val="00C933E7"/>
    <w:rsid w:val="00C93462"/>
    <w:rsid w:val="00C94384"/>
    <w:rsid w:val="00C94A34"/>
    <w:rsid w:val="00C94C2B"/>
    <w:rsid w:val="00C96F79"/>
    <w:rsid w:val="00C97CF9"/>
    <w:rsid w:val="00CA17DD"/>
    <w:rsid w:val="00CA1863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71F8"/>
    <w:rsid w:val="00CC26DB"/>
    <w:rsid w:val="00CC3DAA"/>
    <w:rsid w:val="00CC4C2C"/>
    <w:rsid w:val="00CC5057"/>
    <w:rsid w:val="00CD078F"/>
    <w:rsid w:val="00CD121E"/>
    <w:rsid w:val="00CD3ED8"/>
    <w:rsid w:val="00CD464F"/>
    <w:rsid w:val="00CD761D"/>
    <w:rsid w:val="00CD76B5"/>
    <w:rsid w:val="00CD7E3B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518B"/>
    <w:rsid w:val="00D060FF"/>
    <w:rsid w:val="00D064E8"/>
    <w:rsid w:val="00D06572"/>
    <w:rsid w:val="00D065CD"/>
    <w:rsid w:val="00D12325"/>
    <w:rsid w:val="00D14487"/>
    <w:rsid w:val="00D15E7E"/>
    <w:rsid w:val="00D20016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5889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B7E2A"/>
    <w:rsid w:val="00DC129F"/>
    <w:rsid w:val="00DC3A9D"/>
    <w:rsid w:val="00DC4EC1"/>
    <w:rsid w:val="00DC51EB"/>
    <w:rsid w:val="00DC6C1E"/>
    <w:rsid w:val="00DC7951"/>
    <w:rsid w:val="00DD1C4B"/>
    <w:rsid w:val="00DD1F7B"/>
    <w:rsid w:val="00DD229E"/>
    <w:rsid w:val="00DD55E0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E03A76"/>
    <w:rsid w:val="00E0576C"/>
    <w:rsid w:val="00E068BC"/>
    <w:rsid w:val="00E073F0"/>
    <w:rsid w:val="00E10761"/>
    <w:rsid w:val="00E11D7A"/>
    <w:rsid w:val="00E11EEB"/>
    <w:rsid w:val="00E128F2"/>
    <w:rsid w:val="00E1437B"/>
    <w:rsid w:val="00E16463"/>
    <w:rsid w:val="00E20B83"/>
    <w:rsid w:val="00E2128D"/>
    <w:rsid w:val="00E217B4"/>
    <w:rsid w:val="00E26727"/>
    <w:rsid w:val="00E26970"/>
    <w:rsid w:val="00E27749"/>
    <w:rsid w:val="00E27791"/>
    <w:rsid w:val="00E319DB"/>
    <w:rsid w:val="00E31AFC"/>
    <w:rsid w:val="00E3409E"/>
    <w:rsid w:val="00E34F76"/>
    <w:rsid w:val="00E37BE5"/>
    <w:rsid w:val="00E418A7"/>
    <w:rsid w:val="00E41A27"/>
    <w:rsid w:val="00E442DA"/>
    <w:rsid w:val="00E44B66"/>
    <w:rsid w:val="00E44EDD"/>
    <w:rsid w:val="00E4608B"/>
    <w:rsid w:val="00E501D3"/>
    <w:rsid w:val="00E520A7"/>
    <w:rsid w:val="00E53A01"/>
    <w:rsid w:val="00E541B0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4F79"/>
    <w:rsid w:val="00E7602A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FE6"/>
    <w:rsid w:val="00EA1D43"/>
    <w:rsid w:val="00EA4EC9"/>
    <w:rsid w:val="00EA5E0F"/>
    <w:rsid w:val="00EA6FE4"/>
    <w:rsid w:val="00EA748A"/>
    <w:rsid w:val="00EA7B1F"/>
    <w:rsid w:val="00EA7F4C"/>
    <w:rsid w:val="00EB1D47"/>
    <w:rsid w:val="00EB2317"/>
    <w:rsid w:val="00EB279B"/>
    <w:rsid w:val="00EB2ABB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04BA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211"/>
    <w:rsid w:val="00EF492F"/>
    <w:rsid w:val="00EF6E2E"/>
    <w:rsid w:val="00F0030E"/>
    <w:rsid w:val="00F00CD1"/>
    <w:rsid w:val="00F01E6B"/>
    <w:rsid w:val="00F0241C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1C79"/>
    <w:rsid w:val="00F2260F"/>
    <w:rsid w:val="00F242AD"/>
    <w:rsid w:val="00F247F2"/>
    <w:rsid w:val="00F265F7"/>
    <w:rsid w:val="00F27FA6"/>
    <w:rsid w:val="00F33DC8"/>
    <w:rsid w:val="00F34444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9B3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E71"/>
    <w:rsid w:val="00FA6E7F"/>
    <w:rsid w:val="00FA7114"/>
    <w:rsid w:val="00FB2379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C25"/>
    <w:rsid w:val="00FE6DFA"/>
    <w:rsid w:val="00FF033A"/>
    <w:rsid w:val="00FF0964"/>
    <w:rsid w:val="00FF16F2"/>
    <w:rsid w:val="00FF1D0D"/>
    <w:rsid w:val="00FF2B42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FC67F"/>
  <w15:chartTrackingRefBased/>
  <w15:docId w15:val="{62575F6A-809A-4587-B9FB-181B4ED1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SP-5AIRPNAIUNRU-1830940522-1599</_dlc_DocId>
    <_dlc_DocIdUrl xmlns="71c5aaf6-e6ce-465b-b873-5148d2a4c105">
      <Url>https://nokia.sharepoint.com/sites/c5g/5gradio/_layouts/15/DocIdRedir.aspx?ID=SP-5AIRPNAIUNRU-1830940522-1599</Url>
      <Description>SP-5AIRPNAIUNRU-1830940522-1599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CFAD08-3718-4AB6-A172-AF769C7D9F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CB4709C-30CC-4982-B79C-0DD6F6235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E9DED7-F310-4B22-9689-DA7F3CFB2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131</TotalTime>
  <Pages>2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Farag, Emad (Nokia - US)</cp:lastModifiedBy>
  <cp:revision>10</cp:revision>
  <cp:lastPrinted>2016-09-26T06:54:00Z</cp:lastPrinted>
  <dcterms:created xsi:type="dcterms:W3CDTF">2017-08-01T16:00:00Z</dcterms:created>
  <dcterms:modified xsi:type="dcterms:W3CDTF">2017-09-11T19:36:00Z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c32a6199-b340-452e-8651-8813035e0174</vt:lpwstr>
  </property>
</Properties>
</file>